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>Р І Ш Е Н Н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DB3A43" w:rsidRDefault="00DB3A43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12.12.2023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DB3A4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3A43"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212</w:t>
            </w:r>
            <w:r w:rsidR="00BF3AB2"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комунальним 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некомерційним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>Соснівська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3 №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322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економічну доцільність роботи госпрозрахункового відділення КПН «СМЛ ЧМР»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>В И Р І Ш И В:</w:t>
      </w:r>
    </w:p>
    <w:p w:rsidR="00EC2B05" w:rsidRPr="00CA548D" w:rsidRDefault="00EC2B05" w:rsidP="00E6558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</w:t>
      </w:r>
      <w:r w:rsidR="00E65585" w:rsidRPr="00E65585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некомерційним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>підприємством 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>Адміністрації комунального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некомерційного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підприємства «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Соснівська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2B39" w:rsidRDefault="00E65585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В.о. м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іськ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голов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DB3A43" w:rsidRPr="00DB3A43">
        <w:rPr>
          <w:rFonts w:ascii="Times New Roman" w:hAnsi="Times New Roman" w:cs="Times New Roman"/>
          <w:i/>
          <w:sz w:val="26"/>
          <w:szCs w:val="26"/>
          <w:lang w:val="uk-UA"/>
        </w:rPr>
        <w:t>(підпис)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Дмитро БАЛКО</w:t>
      </w:r>
    </w:p>
    <w:p w:rsidR="00DB3A43" w:rsidRDefault="00DB3A43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B3A43" w:rsidRPr="00DB3A43" w:rsidRDefault="00DB3A43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27FCB" w:rsidRPr="005936B3" w:rsidRDefault="00273051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bookmarkStart w:id="0" w:name="_GoBack"/>
      <w:r w:rsidR="00DB3A43" w:rsidRPr="00DB3A43">
        <w:rPr>
          <w:rFonts w:ascii="Times New Roman" w:hAnsi="Times New Roman" w:cs="Times New Roman"/>
          <w:sz w:val="26"/>
          <w:szCs w:val="26"/>
          <w:u w:val="single"/>
          <w:lang w:val="uk-UA"/>
        </w:rPr>
        <w:t>12.12.2023</w:t>
      </w:r>
      <w:bookmarkEnd w:id="0"/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DB3A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3A43" w:rsidRPr="00DB3A43">
        <w:rPr>
          <w:rFonts w:ascii="Times New Roman" w:hAnsi="Times New Roman" w:cs="Times New Roman"/>
          <w:sz w:val="26"/>
          <w:szCs w:val="26"/>
          <w:u w:val="single"/>
          <w:lang w:val="uk-UA"/>
        </w:rPr>
        <w:t>212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комунального 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некомерційного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підприємства ,,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Соснівська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міськ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лікарн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я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9"/>
        <w:gridCol w:w="710"/>
        <w:gridCol w:w="4925"/>
        <w:gridCol w:w="1434"/>
        <w:gridCol w:w="1117"/>
        <w:gridCol w:w="1255"/>
      </w:tblGrid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Одиниця виміру 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ПРОФОГЛЯДИ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терапевтом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офтальмологом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отоларингологом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акушером-гінекологом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дерматовенерологом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урологом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хірургом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невропатологом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стоматологом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профпатологом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проктологом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наркологом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психіатром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ОГЛЯД ТА КОНСУЛЬТАЦІЯ ЛІКАРЕМ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лікарем офтальмологом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терапевта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профпатолога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уролога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дерматовенеролога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отоларинголога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хірурга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невролога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кардіолога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ОФТАЛЬМОЛОГІЧНІ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Проведення непрямої офтальмоскопії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Процедура інстиляції очних крапель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гостроти зору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кольоросприйняття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Біомікроскопія ока в щілинній лампі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Тонометрія ока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Підбір окулярів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кон’юнктиви повік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рогівки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ОТОЛАРИНГОЛОГІЧНІ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сірчаних пробок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Промивання лакун піднебінних мигдаликів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Вправлення перелому кісток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тіла з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стороннього тіла з вуха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слуху методом тональної аудіометрії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59,96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ХІРУРГІЧНІ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сторонніх тіл без розрізу та анестезії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з розрізом та анестезією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Перев’язка (після лікув. в іншій медустанові)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Заміна гіпсової пов’язки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НЕВРОЛОГІЧНІ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Блокади паровертебральні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Блокади місцеві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ФУНКЦІОНАЛЬНА ДІАГНОСТИКА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ЕКГ– дослідження у 12 відведеннях (проводиться  в кабінеті)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13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Спірографія з функціональним пробами та визначенням легеневих об’ємів та функціональними пробами з ручною обробкою отриманих показників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Капіляроскопія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Реоенцефалографія з компютерним аналізом у спокої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Електроенцефалограма (ЕЕГ) з трактуванням результату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Динамометрія  з визначенням витривалості по фізнавантаженю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Шкірна термометрія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Велоергометрія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Реовазографія верхніх кінцівок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нижніх кінцівок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РЕНТГЕНОЛОГІЧНІ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Флюорографія органів грудної клітки в боковій або прямій передній проекції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Опис флюорограми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бокова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черепа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турецького сідла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носу бокова проекція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гайморові пазухи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кісток верхньої і нижньої щелепи пряма проекція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ліворуч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праворуч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шийного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грудного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попереково-крижового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грудини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ребра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Оглядова рентгенографія кісто тазу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крижового відділу та куприку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(бокова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плечової кістки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передпліччя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плечового суглоба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ліктьового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променево-зап’ястковий суглоб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кисті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пястних кісток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кульшові суглоби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колінного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гомілковостопного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Атипові укладки шийного відділу хребта з функціональним навантаженням (пробами)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УЛЬТРАЗВУКОВІ ДОСЛІДЖЕННЯ</w:t>
            </w:r>
          </w:p>
        </w:tc>
      </w:tr>
      <w:tr w:rsidR="000B4928" w:rsidTr="008767E8">
        <w:trPr>
          <w:trHeight w:val="105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12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ультразвукове: нирки+надниркові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матка+яєчники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шиї (гілки дуги аорти), шийного відділу хребта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черевного відділу аорти та клубових артерій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щитовидної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магістральних судин шиї та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комплексне УЗД шиї (щитовидна залоза, лімфатичні вузли, м'які тканини)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Ехокардіографія (УЗД серця)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серця (двовимірна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легень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підшлункової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молочних залоз, слинних залоз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групи лімфатичних вузлів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органів калитки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одного суглоба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ЛАБОРАТОРНІ ДОСЛІДЖЕННЯ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біопроб крові з пальця у дорослих (для кількох показників)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гемоглобіну гемоглобінціанідним методом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ШОЕ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ретикулоцитів (фарбування в пробірці чи ін.)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еритроцитів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тромбоцитів в фарбованих мазках по Фоніо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Визначити групи крові за системою АВО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резус-фактору в капілярній крові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кількості сечі, її кольору, прозорості наявності осаду, відносної вагомості, реакції (РН)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глюкози в сечі експрес-текстом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білку в сечі з сульфосалициловою кислотою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яєць гельмінтів у фекаліях (метод нативного мазку)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найпростіші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гострючки (ентеробіоз) в 3-х препаратах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лейкоцитарної формули з описуванням морфології клітинних елементів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білірубіну та його фракцій в сироватці крові (метод Йєндрашика)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сироватці венозної крові (метод ортотулуїдиновий глюкозооксидазний)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групи крові за системою АВО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резус-фактору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активності аланінамінотрансферази на біохімічному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цукру в сечі (кількісне)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Мікроскопічне дослідження осадку сечі при нормі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реакції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питомої ваги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та стронголоїдоз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В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С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ПСА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Виявлення Hbs 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сифілісу-реакція Вассермана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 – реакція мікропреципітації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8767E8">
        <w:trPr>
          <w:trHeight w:val="6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аналіз крові з автоматичною формулою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ЛПВЩ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ЛПНЩ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гамма-глутамінтрансферази 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білок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Гепатит В HBs-антиген (кількісний)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мокротиння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капілярної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добовій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тригліцеридів у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сечової кислоти в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часу згортання і часу кровотечі крові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</w:tr>
      <w:tr w:rsidR="000B4928" w:rsidTr="008767E8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венозної крові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БІОХІМІЧНІ АНАЛІЗИ ЛАБОРАТОРНІЇ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£ Амілаза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Кальцію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Креатиніну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Сечовини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Загального білірубіну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Не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Аланінамінотрансферази (АЛТ)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Аспартатамінотрансферази (АСТ)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Коагулоргама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Протромбіновий час та  індекс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фібриноген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Ревмопроби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СRБ гранули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ревматоїдного фактора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Антитіл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ВЗЯТТЯ ТА ДОСЛІДЖЕННЯ ВИДІЛЕНЬ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виділень статевих органів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зішкробу з уретри чи піхви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гонококів, трихомонад, мікрофлора, лейкоцити. Ін. в фарбованих препаратах – 1 мазок (з 1-го місця)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ПОСЛУГИ СЕСТРИНСЬКИХ МАНІПУЛЯЦІЙ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Внутрішньом’язева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Підшкірні ін’єкції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Внутрівенна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Введення внутрівенної крапельниці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СТОМАТОЛОГІЧНІ  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хворого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Знеболювання: </w:t>
            </w:r>
            <w:r>
              <w:rPr>
                <w:color w:val="000000"/>
              </w:rPr>
              <w:t>- карпульним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Знеболювання:</w:t>
            </w:r>
            <w:r>
              <w:rPr>
                <w:color w:val="000000"/>
              </w:rPr>
              <w:t>- одноразовим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Накладання девіталізуючої пасти</w:t>
            </w:r>
            <w:r>
              <w:rPr>
                <w:color w:val="000000"/>
              </w:rPr>
              <w:t xml:space="preserve">: - Девілат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поверхневого карієсу: 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із склоіономерного цементу КетакМоля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середнього карієсу і клиновидного дефекту: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Іонолат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глибокого карієсу: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склоіономерного цементу Кетак Моляр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Прицільний рентген знімок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прицільної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панорамної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пульпіту і періодонтиту: 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каналу зуба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кореневого каналу зуба + використання Трімгель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Розпломбування кореневого каналу, запломбованого пастою або цементом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Ендокорт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Ендометазон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Форедент,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Відновлення коронки зуба з використанням Анкера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Дентин-пов’язка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Ремінералізуюча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старої пломби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анкера з кореневого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обробка важко прохідного облітерованого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матриці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Лікування періодонтиту – накладання лікувальної пов’язки в один канал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кореневого каналу «Каласептом»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Ампутація (розкриття камери зуба) та видалення коронкової пульпи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Первинний огляд пацієнта з захворюваннями пародонту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Розкриття пародонтального абсцесу біля двох зубів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Ін’єкція «Траумель-С» (внутріслизово в 4 точки в/щ і н/щ)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Фотополімерна прокладка «Jen-Line», «Ionosil»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Пломба с цементу Уніцем під коронку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Розширення коронкової частини зуба при загостренні хронічного періодонтиту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Професійна гігієна порожнини рота: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м’якого зубного нальоту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інструментальним способом (один зуб)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за допомогою ультразвукового апарату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ФІЗІОТЕРАПЕВТИЧНІ   ПОСЛУГИ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електрофорез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Тубус –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Дарсонвалізація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Солюкслампа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Інгаляційна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УВЧ – терапія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Ампліпульс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Озокеритотерапія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 - терапія (фонофарез)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Магнітотерапія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Електроміостимуляція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ДІАГНОСТИКА ЩИТОПОДІБНОЇ ЗАЛОЗИ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Тиреотропний гормон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Антитіла до пероксидази щитовидної  залози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1D1B1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1D1B11"/>
              </w:rPr>
              <w:t>ГОРМОНАЛЬНІ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Пролактин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Лютеїнізуючий гормон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Фолікулостимулюючий гормон (ФСГ)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ЦИТОЛОГІЧНІ ДОСЛІДЖЕННЯ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дослідження: матеріал пункційної тонкоголкової біопсії та інші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виділень з молочної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УРОЛОГІЧНІ ПОСЛУГИ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мазків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Пальцевий масаж простати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</w:tr>
      <w:tr w:rsidR="000B4928" w:rsidTr="008767E8">
        <w:trPr>
          <w:trHeight w:val="9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ПАКЕТ (пальцевий масаж простати 10 процедур)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Інстиляція сечового міхура лік. Засобів у жінок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Встановлення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Заміна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Промивання постійного катетера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Відеоцистоскопія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Діагностична уретроскопія у чоловіків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Вправлення парафімозу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МАСАЖНІ  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масаж (20хв)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оздоровчий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коригуючий (естетичний) масаж тіла для жінок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хребта (30-40хв)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шийно-грудного відділу хребта (25хв)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шийного відділу хребта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Медовий масаж (40хв)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Антицелюлітний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обличчя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147,60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Релакс масаж загальний (30хв)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3м-5м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після 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ІНШІ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Стерилізація біксів (1 бікс)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Видача копій мед. довідки, витягу з історії хвороби, амбулаторної картки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багатопрофільному денному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 w:rsidR="000B4928"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767E8"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8767E8" w:rsidP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 w:rsidR="000B4928">
              <w:rPr>
                <w:color w:val="000000"/>
              </w:rPr>
              <w:t>,00</w:t>
            </w:r>
          </w:p>
        </w:tc>
      </w:tr>
      <w:tr w:rsidR="008767E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профпатологічному (терапевтичному)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>
              <w:rPr>
                <w:color w:val="000000"/>
              </w:rPr>
              <w:t>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Оформлення медоглядів (особиста медична книжка)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Сертифікат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довідка на отримання дозволу (ліценції) на об’єкт дозвільної системи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довідка щодо придатності до керування транспортним засобом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карта амбулаторного хворого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3B5C40" w:rsidRPr="00927FCB" w:rsidRDefault="003B5C40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B5C40" w:rsidRPr="00927FCB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07" w:rsidRDefault="00EB7007" w:rsidP="00290305">
      <w:pPr>
        <w:spacing w:after="0" w:line="240" w:lineRule="auto"/>
      </w:pPr>
      <w:r>
        <w:separator/>
      </w:r>
    </w:p>
  </w:endnote>
  <w:endnote w:type="continuationSeparator" w:id="0">
    <w:p w:rsidR="00EB7007" w:rsidRDefault="00EB7007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07" w:rsidRDefault="00EB7007" w:rsidP="00290305">
      <w:pPr>
        <w:spacing w:after="0" w:line="240" w:lineRule="auto"/>
      </w:pPr>
      <w:r>
        <w:separator/>
      </w:r>
    </w:p>
  </w:footnote>
  <w:footnote w:type="continuationSeparator" w:id="0">
    <w:p w:rsidR="00EB7007" w:rsidRDefault="00EB7007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40" w:rsidRPr="002D10CE" w:rsidRDefault="003B5C40" w:rsidP="002D10CE">
    <w:pPr>
      <w:pStyle w:val="af6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A7721"/>
    <w:rsid w:val="001C4E88"/>
    <w:rsid w:val="001E3004"/>
    <w:rsid w:val="001F0B83"/>
    <w:rsid w:val="002026A4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50366E"/>
    <w:rsid w:val="005358B5"/>
    <w:rsid w:val="00572437"/>
    <w:rsid w:val="005936B3"/>
    <w:rsid w:val="005F7379"/>
    <w:rsid w:val="0063144E"/>
    <w:rsid w:val="00663CD3"/>
    <w:rsid w:val="006D5BDF"/>
    <w:rsid w:val="00723259"/>
    <w:rsid w:val="0072496C"/>
    <w:rsid w:val="00727D38"/>
    <w:rsid w:val="007302EB"/>
    <w:rsid w:val="00747D97"/>
    <w:rsid w:val="00795794"/>
    <w:rsid w:val="007C3E95"/>
    <w:rsid w:val="00803262"/>
    <w:rsid w:val="008767E8"/>
    <w:rsid w:val="008B3F98"/>
    <w:rsid w:val="008B5807"/>
    <w:rsid w:val="008B644E"/>
    <w:rsid w:val="008E2833"/>
    <w:rsid w:val="00900FD4"/>
    <w:rsid w:val="00903D40"/>
    <w:rsid w:val="009056A3"/>
    <w:rsid w:val="00912376"/>
    <w:rsid w:val="00927FCB"/>
    <w:rsid w:val="00932D8C"/>
    <w:rsid w:val="00960238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E6863"/>
    <w:rsid w:val="00BF3AB2"/>
    <w:rsid w:val="00C00A79"/>
    <w:rsid w:val="00C56B5F"/>
    <w:rsid w:val="00C6278F"/>
    <w:rsid w:val="00C75606"/>
    <w:rsid w:val="00C91915"/>
    <w:rsid w:val="00C91E11"/>
    <w:rsid w:val="00CA548D"/>
    <w:rsid w:val="00CC303B"/>
    <w:rsid w:val="00CD2CAB"/>
    <w:rsid w:val="00CE40F2"/>
    <w:rsid w:val="00D270DD"/>
    <w:rsid w:val="00D40896"/>
    <w:rsid w:val="00D84177"/>
    <w:rsid w:val="00DB3A43"/>
    <w:rsid w:val="00DD0672"/>
    <w:rsid w:val="00DD1948"/>
    <w:rsid w:val="00DE67F7"/>
    <w:rsid w:val="00DE6A37"/>
    <w:rsid w:val="00DF13BA"/>
    <w:rsid w:val="00E0627E"/>
    <w:rsid w:val="00E5683F"/>
    <w:rsid w:val="00E65585"/>
    <w:rsid w:val="00E70CE2"/>
    <w:rsid w:val="00E83243"/>
    <w:rsid w:val="00EA33F3"/>
    <w:rsid w:val="00EB7007"/>
    <w:rsid w:val="00EC2B05"/>
    <w:rsid w:val="00EE391C"/>
    <w:rsid w:val="00EF5334"/>
    <w:rsid w:val="00F22B3D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A989-BDA5-4245-8471-3108A42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af">
    <w:name w:val="Заголовок"/>
    <w:basedOn w:val="a"/>
    <w:next w:val="af0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1"/>
    <w:rsid w:val="00290305"/>
    <w:pPr>
      <w:spacing w:after="140"/>
    </w:pPr>
  </w:style>
  <w:style w:type="character" w:customStyle="1" w:styleId="af1">
    <w:name w:val="Основной текст Знак"/>
    <w:basedOn w:val="a0"/>
    <w:link w:val="af0"/>
    <w:rsid w:val="00290305"/>
    <w:rPr>
      <w:rFonts w:ascii="Calibri" w:eastAsia="Times New Roman" w:hAnsi="Calibri" w:cs="Calibri"/>
      <w:lang w:eastAsia="zh-CN"/>
    </w:rPr>
  </w:style>
  <w:style w:type="paragraph" w:styleId="af2">
    <w:name w:val="List"/>
    <w:basedOn w:val="af0"/>
    <w:rsid w:val="00290305"/>
    <w:rPr>
      <w:rFonts w:cs="Arial"/>
    </w:rPr>
  </w:style>
  <w:style w:type="paragraph" w:styleId="af3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3"/>
    <w:rsid w:val="002903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styleId="af7">
    <w:name w:val="foot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customStyle="1" w:styleId="af8">
    <w:name w:val="Вміст таблиці"/>
    <w:basedOn w:val="a"/>
    <w:rsid w:val="00290305"/>
    <w:pPr>
      <w:suppressLineNumbers/>
    </w:pPr>
  </w:style>
  <w:style w:type="paragraph" w:customStyle="1" w:styleId="af9">
    <w:name w:val="Заголовок таблиці"/>
    <w:basedOn w:val="af8"/>
    <w:rsid w:val="0029030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65AE-DEFC-4DE8-A9E1-70E18DFE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16187</Words>
  <Characters>9227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Specialist</cp:lastModifiedBy>
  <cp:revision>7</cp:revision>
  <cp:lastPrinted>2023-12-11T07:55:00Z</cp:lastPrinted>
  <dcterms:created xsi:type="dcterms:W3CDTF">2023-12-01T07:27:00Z</dcterms:created>
  <dcterms:modified xsi:type="dcterms:W3CDTF">2023-12-14T14:55:00Z</dcterms:modified>
</cp:coreProperties>
</file>